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FF" w:rsidRDefault="00833E08">
      <w:r>
        <w:rPr>
          <w:noProof/>
        </w:rPr>
        <w:drawing>
          <wp:inline distT="0" distB="0" distL="0" distR="0" wp14:anchorId="69787A19" wp14:editId="4D35E85D">
            <wp:extent cx="6467475" cy="3505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E08" w:rsidRDefault="00833E08"/>
    <w:p w:rsidR="00833E08" w:rsidRPr="00833E08" w:rsidRDefault="00833E08" w:rsidP="00833E08">
      <w:pPr>
        <w:spacing w:after="0" w:line="240" w:lineRule="auto"/>
        <w:rPr>
          <w:rFonts w:ascii="Calibri" w:eastAsia="Calibri" w:hAnsi="Calibri" w:cs="Times New Roman"/>
          <w:color w:val="1F497D"/>
        </w:rPr>
      </w:pPr>
      <w:r w:rsidRPr="00833E08">
        <w:rPr>
          <w:rFonts w:ascii="Calibri" w:eastAsia="Calibri" w:hAnsi="Calibri" w:cs="Times New Roman"/>
          <w:color w:val="1F497D"/>
        </w:rPr>
        <w:t>Given below is the SRT and ECAL table- revised one as per the meeting this morning. The resident and non-resident SRT and ECAL structure will be same as is the case now where there is no differentiation between resident and non-resident SRT rates.</w:t>
      </w:r>
    </w:p>
    <w:p w:rsidR="00833E08" w:rsidRPr="00833E08" w:rsidRDefault="00833E08" w:rsidP="00833E08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tbl>
      <w:tblPr>
        <w:tblW w:w="944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3867"/>
        <w:gridCol w:w="3207"/>
      </w:tblGrid>
      <w:tr w:rsidR="00833E08" w:rsidRPr="00833E08" w:rsidTr="00833E08">
        <w:trPr>
          <w:trHeight w:val="58"/>
        </w:trPr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</w:rPr>
              <w:t>Chargeable Income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</w:rPr>
              <w:t>Social Responsibility Tax Payable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b/>
                <w:bCs/>
                <w:color w:val="FFFFFF"/>
                <w:sz w:val="20"/>
                <w:szCs w:val="20"/>
              </w:rPr>
              <w:t>ECAL</w:t>
            </w:r>
          </w:p>
        </w:tc>
      </w:tr>
      <w:tr w:rsidR="00833E08" w:rsidRPr="00833E08" w:rsidTr="00833E08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270,001 - 300,000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13% of excess over $270,000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10% of excess over $270,000</w:t>
            </w:r>
          </w:p>
        </w:tc>
      </w:tr>
      <w:tr w:rsidR="00833E08" w:rsidRPr="00833E08" w:rsidTr="00833E08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300,001 - 350,000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3,900 + 14% of excess over $300,000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10% of excess over $270,000</w:t>
            </w:r>
          </w:p>
        </w:tc>
      </w:tr>
      <w:tr w:rsidR="00833E08" w:rsidRPr="00833E08" w:rsidTr="00833E08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350,001 - 400,000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10,900 + 15% of excess over $350,000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10% of excess over $270,000</w:t>
            </w:r>
          </w:p>
        </w:tc>
      </w:tr>
      <w:tr w:rsidR="00833E08" w:rsidRPr="00833E08" w:rsidTr="00833E08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400,001 - 450,000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18,400 + 16% of excess over $400,000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10% of excess over $270,000</w:t>
            </w:r>
          </w:p>
        </w:tc>
      </w:tr>
      <w:tr w:rsidR="00833E08" w:rsidRPr="00833E08" w:rsidTr="00833E08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450,001 - 500,000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26,400 + 17% of excess over $450,000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10% of excess over $270,000</w:t>
            </w:r>
          </w:p>
        </w:tc>
      </w:tr>
      <w:tr w:rsidR="00833E08" w:rsidRPr="00833E08" w:rsidTr="00833E08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500,001 - 1,000,000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34,900 + 18% of excess over $500,000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10% of excess over $270,000</w:t>
            </w:r>
          </w:p>
        </w:tc>
      </w:tr>
      <w:tr w:rsidR="00833E08" w:rsidRPr="00833E08" w:rsidTr="00833E08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1,000,001 +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124,900 + 19% of excess over $1,000,000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3E08" w:rsidRPr="00833E08" w:rsidRDefault="00833E08" w:rsidP="00833E08">
            <w:pPr>
              <w:spacing w:line="252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833E08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10% of excess over $270,000</w:t>
            </w:r>
          </w:p>
        </w:tc>
      </w:tr>
    </w:tbl>
    <w:p w:rsidR="00833E08" w:rsidRDefault="00833E08">
      <w:bookmarkStart w:id="0" w:name="_GoBack"/>
      <w:bookmarkEnd w:id="0"/>
    </w:p>
    <w:sectPr w:rsidR="00833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08"/>
    <w:rsid w:val="00833E08"/>
    <w:rsid w:val="00CB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081C"/>
  <w15:chartTrackingRefBased/>
  <w15:docId w15:val="{24F42B89-EC34-4BC1-AE86-EDA1207F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Shaheen R. Hussain</dc:creator>
  <cp:keywords/>
  <dc:description/>
  <cp:lastModifiedBy>Shaheen R. Hussain</cp:lastModifiedBy>
  <cp:revision>1</cp:revision>
  <dcterms:created xsi:type="dcterms:W3CDTF">2017-07-19T04:31:00Z</dcterms:created>
  <dcterms:modified xsi:type="dcterms:W3CDTF">2017-07-19T04:33:00Z</dcterms:modified>
</cp:coreProperties>
</file>